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FF" w:rsidRDefault="00A84D2D" w:rsidP="0079314A">
      <w:pPr>
        <w:jc w:val="center"/>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r>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Dry Bath</w:t>
      </w:r>
      <w:r w:rsidR="006A4B55">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/Heat Block</w:t>
      </w:r>
    </w:p>
    <w:p w:rsidR="0079314A" w:rsidRDefault="0079314A" w:rsidP="0079314A">
      <w:pPr>
        <w:jc w:val="center"/>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heme="minorHAnsi" w:hAnsiTheme="minorHAnsi"/>
          <w:b/>
          <w:noProof/>
          <w:sz w:val="52"/>
          <w:szCs w:val="52"/>
        </w:rPr>
        <w:drawing>
          <wp:inline distT="0" distB="0" distL="0" distR="0" wp14:anchorId="322551FE" wp14:editId="5CC74008">
            <wp:extent cx="2227450" cy="15430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7450" cy="1543050"/>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5043"/>
        <w:gridCol w:w="5043"/>
      </w:tblGrid>
      <w:tr w:rsidR="005B6CD7" w:rsidRPr="005B6CD7" w:rsidTr="00737D3E">
        <w:trPr>
          <w:trHeight w:val="323"/>
        </w:trPr>
        <w:tc>
          <w:tcPr>
            <w:tcW w:w="10086" w:type="dxa"/>
            <w:gridSpan w:val="2"/>
          </w:tcPr>
          <w:p w:rsidR="005B6CD7" w:rsidRPr="005B6CD7" w:rsidRDefault="005B6CD7" w:rsidP="005B6CD7">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6CD7">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Potential Hazards while performing these activities</w:t>
            </w:r>
          </w:p>
        </w:tc>
      </w:tr>
      <w:tr w:rsidR="005B6CD7" w:rsidRPr="0077051F" w:rsidTr="005B6CD7">
        <w:trPr>
          <w:trHeight w:val="630"/>
        </w:trPr>
        <w:tc>
          <w:tcPr>
            <w:tcW w:w="5043" w:type="dxa"/>
          </w:tcPr>
          <w:p w:rsidR="005B6CD7" w:rsidRPr="0077051F" w:rsidRDefault="00743566" w:rsidP="00743566">
            <w:pPr>
              <w:tabs>
                <w:tab w:val="center" w:pos="2413"/>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5137476E">
                  <wp:extent cx="828675" cy="628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28650"/>
                          </a:xfrm>
                          <a:prstGeom prst="rect">
                            <a:avLst/>
                          </a:prstGeom>
                          <a:noFill/>
                        </pic:spPr>
                      </pic:pic>
                    </a:graphicData>
                  </a:graphic>
                </wp:inline>
              </w:drawing>
            </w:r>
            <w:r w:rsidRPr="00743566">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Electrical Hazard</w:t>
            </w:r>
          </w:p>
        </w:tc>
        <w:tc>
          <w:tcPr>
            <w:tcW w:w="5043" w:type="dxa"/>
          </w:tcPr>
          <w:p w:rsidR="0077051F" w:rsidRPr="0077051F" w:rsidRDefault="00743566" w:rsidP="0077051F">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43566">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This equipment contains electrical units that may come into contact with skin or liquids.</w:t>
            </w:r>
          </w:p>
        </w:tc>
      </w:tr>
      <w:tr w:rsidR="005B6CD7" w:rsidRPr="0077051F" w:rsidTr="005B6CD7">
        <w:trPr>
          <w:trHeight w:val="614"/>
        </w:trPr>
        <w:tc>
          <w:tcPr>
            <w:tcW w:w="5043" w:type="dxa"/>
          </w:tcPr>
          <w:p w:rsidR="005B6CD7" w:rsidRPr="0077051F" w:rsidRDefault="00743566" w:rsidP="0079314A">
            <w:pP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1B901B11">
                  <wp:extent cx="800100" cy="638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638175"/>
                          </a:xfrm>
                          <a:prstGeom prst="rect">
                            <a:avLst/>
                          </a:prstGeom>
                          <a:noFill/>
                        </pic:spPr>
                      </pic:pic>
                    </a:graphicData>
                  </a:graphic>
                </wp:inline>
              </w:drawing>
            </w:r>
            <w:r>
              <w:t xml:space="preserve"> </w:t>
            </w:r>
            <w:r w:rsidRPr="00743566">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Heat Hazard</w:t>
            </w:r>
          </w:p>
        </w:tc>
        <w:tc>
          <w:tcPr>
            <w:tcW w:w="5043" w:type="dxa"/>
          </w:tcPr>
          <w:p w:rsidR="005B6CD7" w:rsidRPr="0077051F" w:rsidRDefault="00743566" w:rsidP="000A3F14">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43566">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This equipment produces heat and may cause burns.</w:t>
            </w:r>
          </w:p>
        </w:tc>
      </w:tr>
      <w:tr w:rsidR="005B6CD7" w:rsidRPr="0077051F" w:rsidTr="005B6CD7">
        <w:trPr>
          <w:trHeight w:val="630"/>
        </w:trPr>
        <w:tc>
          <w:tcPr>
            <w:tcW w:w="5043" w:type="dxa"/>
          </w:tcPr>
          <w:p w:rsidR="005B6CD7" w:rsidRPr="0077051F" w:rsidRDefault="00743566" w:rsidP="0079314A">
            <w:pPr>
              <w:rPr>
                <w:rFonts w:asciiTheme="minorHAnsi" w:hAnsiTheme="minorHAnsi"/>
              </w:rPr>
            </w:pPr>
            <w:r>
              <w:rPr>
                <w:rFonts w:asciiTheme="minorHAnsi" w:hAnsiTheme="minorHAnsi"/>
                <w:noProof/>
              </w:rPr>
              <w:drawing>
                <wp:inline distT="0" distB="0" distL="0" distR="0" wp14:anchorId="55C5AE2E">
                  <wp:extent cx="781050" cy="657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657225"/>
                          </a:xfrm>
                          <a:prstGeom prst="rect">
                            <a:avLst/>
                          </a:prstGeom>
                          <a:noFill/>
                        </pic:spPr>
                      </pic:pic>
                    </a:graphicData>
                  </a:graphic>
                </wp:inline>
              </w:drawing>
            </w:r>
            <w:r>
              <w:t xml:space="preserve"> </w:t>
            </w:r>
            <w:r w:rsidR="0079314A">
              <w:rPr>
                <w:rFonts w:asciiTheme="minorHAnsi" w:hAnsiTheme="minorHAnsi"/>
                <w:color w:val="C00000"/>
              </w:rPr>
              <w:t>Vapor Hazard</w:t>
            </w:r>
          </w:p>
        </w:tc>
        <w:tc>
          <w:tcPr>
            <w:tcW w:w="5043" w:type="dxa"/>
          </w:tcPr>
          <w:p w:rsidR="005B6CD7" w:rsidRPr="0077051F" w:rsidRDefault="00743566" w:rsidP="000A3F14">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43566">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Chemicals that are heated could produce a vapor hazard.</w:t>
            </w:r>
          </w:p>
        </w:tc>
      </w:tr>
    </w:tbl>
    <w:p w:rsidR="005B6CD7" w:rsidRDefault="005B6CD7" w:rsidP="005B6CD7">
      <w:pPr>
        <w:jc w:val="center"/>
        <w:rPr>
          <w:rFonts w:ascii="Bookman Old Style" w:hAnsi="Bookman Old Style"/>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Look w:val="04A0" w:firstRow="1" w:lastRow="0" w:firstColumn="1" w:lastColumn="0" w:noHBand="0" w:noVBand="1"/>
      </w:tblPr>
      <w:tblGrid>
        <w:gridCol w:w="5080"/>
        <w:gridCol w:w="5080"/>
      </w:tblGrid>
      <w:tr w:rsidR="0077051F" w:rsidRPr="0077051F" w:rsidTr="00743566">
        <w:trPr>
          <w:trHeight w:val="422"/>
        </w:trPr>
        <w:tc>
          <w:tcPr>
            <w:tcW w:w="10159" w:type="dxa"/>
            <w:gridSpan w:val="2"/>
          </w:tcPr>
          <w:p w:rsidR="0077051F" w:rsidRPr="0077051F" w:rsidRDefault="0077051F" w:rsidP="000A3F14">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7051F">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Preventions to reduce exposure to hazards:</w:t>
            </w:r>
          </w:p>
        </w:tc>
      </w:tr>
      <w:tr w:rsidR="0077051F" w:rsidRPr="0077051F" w:rsidTr="009C44C8">
        <w:trPr>
          <w:trHeight w:val="315"/>
        </w:trPr>
        <w:tc>
          <w:tcPr>
            <w:tcW w:w="5080" w:type="dxa"/>
          </w:tcPr>
          <w:p w:rsidR="0077051F" w:rsidRPr="0077051F" w:rsidRDefault="00743566" w:rsidP="0079314A">
            <w:pPr>
              <w:tabs>
                <w:tab w:val="left" w:pos="1230"/>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08C8DE13">
                  <wp:extent cx="514350" cy="495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495300"/>
                          </a:xfrm>
                          <a:prstGeom prst="rect">
                            <a:avLst/>
                          </a:prstGeom>
                          <a:noFill/>
                        </pic:spPr>
                      </pic:pic>
                    </a:graphicData>
                  </a:graphic>
                </wp:inline>
              </w:drawing>
            </w:r>
            <w:r>
              <w:t xml:space="preserve"> </w:t>
            </w:r>
            <w:r w:rsidRPr="00743566">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Eye Protection</w:t>
            </w:r>
          </w:p>
        </w:tc>
        <w:tc>
          <w:tcPr>
            <w:tcW w:w="5080" w:type="dxa"/>
          </w:tcPr>
          <w:p w:rsidR="0077051F" w:rsidRPr="0077051F" w:rsidRDefault="00743566" w:rsidP="00743566">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43566">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Wear safety glasses with side shields while operating.</w:t>
            </w:r>
            <w:r w:rsidR="00BE34BB">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If vapors will be produced</w:t>
            </w:r>
            <w:r w:rsidR="0079314A">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BE34BB">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use equipment inside a fume hood.</w:t>
            </w:r>
          </w:p>
        </w:tc>
      </w:tr>
      <w:tr w:rsidR="0077051F" w:rsidRPr="0077051F" w:rsidTr="009C44C8">
        <w:trPr>
          <w:trHeight w:val="299"/>
        </w:trPr>
        <w:tc>
          <w:tcPr>
            <w:tcW w:w="5080" w:type="dxa"/>
          </w:tcPr>
          <w:p w:rsidR="0077051F" w:rsidRPr="0077051F" w:rsidRDefault="00743566" w:rsidP="009C44C8">
            <w:pPr>
              <w:tabs>
                <w:tab w:val="left" w:pos="570"/>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227D6A0F">
                  <wp:extent cx="514350" cy="466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466725"/>
                          </a:xfrm>
                          <a:prstGeom prst="rect">
                            <a:avLst/>
                          </a:prstGeom>
                          <a:noFill/>
                        </pic:spPr>
                      </pic:pic>
                    </a:graphicData>
                  </a:graphic>
                </wp:inline>
              </w:drawing>
            </w:r>
            <w:r>
              <w:t xml:space="preserve"> </w:t>
            </w:r>
            <w:r w:rsidRPr="00743566">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Protective Gloves</w:t>
            </w:r>
          </w:p>
        </w:tc>
        <w:tc>
          <w:tcPr>
            <w:tcW w:w="5080" w:type="dxa"/>
          </w:tcPr>
          <w:p w:rsidR="0077051F" w:rsidRPr="0077051F" w:rsidRDefault="00743566" w:rsidP="009C44C8">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43566">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Wear appropriate gloves for heat and chemical usage.</w:t>
            </w:r>
          </w:p>
        </w:tc>
      </w:tr>
      <w:tr w:rsidR="0077051F" w:rsidRPr="0077051F" w:rsidTr="009C44C8">
        <w:trPr>
          <w:trHeight w:val="315"/>
        </w:trPr>
        <w:tc>
          <w:tcPr>
            <w:tcW w:w="5080" w:type="dxa"/>
          </w:tcPr>
          <w:p w:rsidR="0077051F" w:rsidRPr="0077051F" w:rsidRDefault="00743566" w:rsidP="0079314A">
            <w:pPr>
              <w:tabs>
                <w:tab w:val="left" w:pos="990"/>
                <w:tab w:val="left" w:pos="3000"/>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6C6CA725">
                  <wp:extent cx="49530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466725"/>
                          </a:xfrm>
                          <a:prstGeom prst="rect">
                            <a:avLst/>
                          </a:prstGeom>
                          <a:noFill/>
                        </pic:spPr>
                      </pic:pic>
                    </a:graphicData>
                  </a:graphic>
                </wp:inline>
              </w:drawing>
            </w:r>
            <w:r>
              <w:t xml:space="preserve"> </w:t>
            </w:r>
            <w:r w:rsidRPr="00743566">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Non-slip, closed shoes</w:t>
            </w:r>
          </w:p>
        </w:tc>
        <w:tc>
          <w:tcPr>
            <w:tcW w:w="5080" w:type="dxa"/>
          </w:tcPr>
          <w:p w:rsidR="0077051F" w:rsidRPr="0077051F" w:rsidRDefault="00743566" w:rsidP="009C44C8">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43566">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Wear non-slip, closed toed shoes to avoid slipping.</w:t>
            </w:r>
          </w:p>
        </w:tc>
      </w:tr>
      <w:tr w:rsidR="00743566" w:rsidRPr="0077051F" w:rsidTr="009C44C8">
        <w:trPr>
          <w:trHeight w:val="315"/>
        </w:trPr>
        <w:tc>
          <w:tcPr>
            <w:tcW w:w="5080" w:type="dxa"/>
          </w:tcPr>
          <w:p w:rsidR="00743566" w:rsidRDefault="00743566" w:rsidP="0079314A">
            <w:pPr>
              <w:tabs>
                <w:tab w:val="left" w:pos="990"/>
                <w:tab w:val="left" w:pos="3000"/>
              </w:tabs>
              <w:rPr>
                <w:rFonts w:asciiTheme="minorHAnsi" w:hAnsiTheme="minorHAnsi"/>
                <w:noProof/>
                <w:color w:val="C00000"/>
              </w:rPr>
            </w:pPr>
            <w:r>
              <w:rPr>
                <w:rFonts w:asciiTheme="minorHAnsi" w:hAnsiTheme="minorHAnsi"/>
                <w:noProof/>
                <w:color w:val="C00000"/>
              </w:rPr>
              <w:drawing>
                <wp:inline distT="0" distB="0" distL="0" distR="0" wp14:anchorId="7EBD9F7A">
                  <wp:extent cx="514350" cy="466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466725"/>
                          </a:xfrm>
                          <a:prstGeom prst="rect">
                            <a:avLst/>
                          </a:prstGeom>
                          <a:noFill/>
                        </pic:spPr>
                      </pic:pic>
                    </a:graphicData>
                  </a:graphic>
                </wp:inline>
              </w:drawing>
            </w:r>
            <w:r>
              <w:t xml:space="preserve"> </w:t>
            </w:r>
            <w:r w:rsidRPr="00743566">
              <w:rPr>
                <w:rFonts w:asciiTheme="minorHAnsi" w:hAnsiTheme="minorHAnsi"/>
                <w:noProof/>
                <w:color w:val="C00000"/>
              </w:rPr>
              <w:t>Read Manual</w:t>
            </w:r>
          </w:p>
        </w:tc>
        <w:tc>
          <w:tcPr>
            <w:tcW w:w="5080" w:type="dxa"/>
          </w:tcPr>
          <w:p w:rsidR="00743566" w:rsidRDefault="00743566" w:rsidP="009C44C8">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43566" w:rsidRPr="0077051F" w:rsidRDefault="00743566" w:rsidP="009C44C8">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43566">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Become familiar with this guide before operating.</w:t>
            </w:r>
          </w:p>
        </w:tc>
      </w:tr>
    </w:tbl>
    <w:p w:rsidR="00AC417D" w:rsidRDefault="00AC417D" w:rsidP="005B6CD7">
      <w:pPr>
        <w:jc w:val="center"/>
        <w:rPr>
          <w:rFonts w:ascii="Bookman Old Style" w:hAnsi="Bookman Old Style"/>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Look w:val="04A0" w:firstRow="1" w:lastRow="0" w:firstColumn="1" w:lastColumn="0" w:noHBand="0" w:noVBand="1"/>
      </w:tblPr>
      <w:tblGrid>
        <w:gridCol w:w="10174"/>
      </w:tblGrid>
      <w:tr w:rsidR="00AC417D" w:rsidTr="00AC417D">
        <w:trPr>
          <w:trHeight w:val="645"/>
        </w:trPr>
        <w:tc>
          <w:tcPr>
            <w:tcW w:w="10174" w:type="dxa"/>
          </w:tcPr>
          <w:p w:rsidR="00743566" w:rsidRPr="00743566" w:rsidRDefault="00743566" w:rsidP="00743566">
            <w:pPr>
              <w:jc w:val="center"/>
              <w:rPr>
                <w:rFonts w:asciiTheme="minorHAnsi" w:hAnsiTheme="minorHAnsi"/>
              </w:rPr>
            </w:pPr>
            <w:r w:rsidRPr="00743566">
              <w:rPr>
                <w:rFonts w:asciiTheme="minorHAnsi" w:hAnsiTheme="minorHAnsi"/>
              </w:rPr>
              <w:t>Note:</w:t>
            </w:r>
          </w:p>
          <w:p w:rsidR="000E4F70" w:rsidRPr="000E4F70" w:rsidRDefault="00743566" w:rsidP="00743566">
            <w:pPr>
              <w:spacing w:after="200" w:line="276" w:lineRule="auto"/>
              <w:jc w:val="center"/>
              <w:rPr>
                <w:rFonts w:asciiTheme="minorHAnsi" w:hAnsiTheme="minorHAnsi"/>
              </w:rPr>
            </w:pPr>
            <w:r w:rsidRPr="00743566">
              <w:rPr>
                <w:rFonts w:asciiTheme="minorHAnsi" w:hAnsiTheme="minorHAnsi"/>
              </w:rPr>
              <w:t>If you have additional questions about the operation of thi</w:t>
            </w:r>
            <w:r w:rsidR="00F77CCB">
              <w:rPr>
                <w:rFonts w:asciiTheme="minorHAnsi" w:hAnsiTheme="minorHAnsi"/>
              </w:rPr>
              <w:t>s equipment contact the LSM</w:t>
            </w:r>
            <w:r w:rsidR="000E4F70">
              <w:rPr>
                <w:rFonts w:asciiTheme="minorHAnsi" w:hAnsiTheme="minorHAnsi"/>
              </w:rPr>
              <w:t>.</w:t>
            </w:r>
          </w:p>
        </w:tc>
      </w:tr>
    </w:tbl>
    <w:p w:rsidR="0077051F" w:rsidRDefault="0077051F" w:rsidP="005B6CD7">
      <w:pPr>
        <w:jc w:val="center"/>
        <w:rPr>
          <w:rFonts w:ascii="Bookman Old Style" w:hAnsi="Bookman Old Style"/>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Look w:val="04A0" w:firstRow="1" w:lastRow="0" w:firstColumn="1" w:lastColumn="0" w:noHBand="0" w:noVBand="1"/>
      </w:tblPr>
      <w:tblGrid>
        <w:gridCol w:w="5087"/>
        <w:gridCol w:w="5087"/>
      </w:tblGrid>
      <w:tr w:rsidR="00AC417D" w:rsidRPr="008C3C4E" w:rsidTr="00737D3E">
        <w:trPr>
          <w:trHeight w:val="368"/>
        </w:trPr>
        <w:tc>
          <w:tcPr>
            <w:tcW w:w="5087" w:type="dxa"/>
          </w:tcPr>
          <w:p w:rsidR="00AC417D" w:rsidRPr="008C3C4E" w:rsidRDefault="009520BC" w:rsidP="008C3C4E">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Setup and Operation steps</w:t>
            </w:r>
          </w:p>
        </w:tc>
        <w:tc>
          <w:tcPr>
            <w:tcW w:w="5087" w:type="dxa"/>
          </w:tcPr>
          <w:p w:rsidR="00AC417D" w:rsidRPr="008C3C4E" w:rsidRDefault="008C3C4E" w:rsidP="008C3C4E">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Pictures</w:t>
            </w:r>
          </w:p>
        </w:tc>
      </w:tr>
      <w:tr w:rsidR="00AC417D" w:rsidRPr="008C3C4E" w:rsidTr="00737D3E">
        <w:trPr>
          <w:trHeight w:val="1610"/>
        </w:trPr>
        <w:tc>
          <w:tcPr>
            <w:tcW w:w="5087" w:type="dxa"/>
          </w:tcPr>
          <w:p w:rsidR="00AC417D" w:rsidRPr="0016474F" w:rsidRDefault="00F77CCB" w:rsidP="00D4588A">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Verify that unit is plugged in. </w:t>
            </w:r>
            <w:r w:rsidR="0070300A">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Turn on main po</w:t>
            </w:r>
            <w:r w:rsidR="00D4588A">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wer switch. Press and release either the UP or DOWN ARROW button once and the display will flash the existing set point temperature established.</w:t>
            </w:r>
          </w:p>
        </w:tc>
        <w:tc>
          <w:tcPr>
            <w:tcW w:w="5087" w:type="dxa"/>
          </w:tcPr>
          <w:p w:rsidR="00AC417D" w:rsidRPr="0016474F" w:rsidRDefault="006A4B55"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w:drawing>
                <wp:inline distT="0" distB="0" distL="0" distR="0" wp14:anchorId="7A9DD0A9">
                  <wp:extent cx="1414145" cy="18840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4145" cy="1884045"/>
                          </a:xfrm>
                          <a:prstGeom prst="rect">
                            <a:avLst/>
                          </a:prstGeom>
                          <a:noFill/>
                        </pic:spPr>
                      </pic:pic>
                    </a:graphicData>
                  </a:graphic>
                </wp:inline>
              </w:drawing>
            </w:r>
            <w:r w:rsidR="008C3C4E" w:rsidRPr="0016474F">
              <w:rPr>
                <w:noProof/>
              </w:rPr>
              <w:t xml:space="preserve"> </w:t>
            </w:r>
          </w:p>
        </w:tc>
      </w:tr>
      <w:tr w:rsidR="00AC417D" w:rsidRPr="008C3C4E" w:rsidTr="008C3C4E">
        <w:trPr>
          <w:trHeight w:val="621"/>
        </w:trPr>
        <w:tc>
          <w:tcPr>
            <w:tcW w:w="5087" w:type="dxa"/>
          </w:tcPr>
          <w:p w:rsidR="00AC417D" w:rsidRPr="0016474F" w:rsidRDefault="009520BC" w:rsidP="009520BC">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520BC">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Change temperature set point, press the appropriate UP or DOWN button to raise or lower temperature. Once desired temperature is reached release button. When the display stops flashing the new set point is established.</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Maximum temp is 130 c.</w:t>
            </w:r>
          </w:p>
        </w:tc>
        <w:tc>
          <w:tcPr>
            <w:tcW w:w="5087" w:type="dxa"/>
          </w:tcPr>
          <w:p w:rsidR="00AC417D" w:rsidRPr="0016474F" w:rsidRDefault="006A4B55"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40B5CF5F">
                  <wp:extent cx="1670685" cy="1256030"/>
                  <wp:effectExtent l="0" t="0" r="571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0685" cy="1256030"/>
                          </a:xfrm>
                          <a:prstGeom prst="rect">
                            <a:avLst/>
                          </a:prstGeom>
                          <a:noFill/>
                        </pic:spPr>
                      </pic:pic>
                    </a:graphicData>
                  </a:graphic>
                </wp:inline>
              </w:drawing>
            </w:r>
          </w:p>
        </w:tc>
      </w:tr>
      <w:tr w:rsidR="00AC417D" w:rsidRPr="008C3C4E" w:rsidTr="006A4B55">
        <w:trPr>
          <w:trHeight w:val="1862"/>
        </w:trPr>
        <w:tc>
          <w:tcPr>
            <w:tcW w:w="5087" w:type="dxa"/>
          </w:tcPr>
          <w:p w:rsidR="00AC417D" w:rsidRDefault="009520BC" w:rsidP="0016474F">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Place samples in appropriate metal block to fit the size of your sample container. Heat for needed duration.</w:t>
            </w:r>
          </w:p>
          <w:p w:rsidR="009520BC" w:rsidRPr="0016474F" w:rsidRDefault="009520BC" w:rsidP="009520BC">
            <w:pPr>
              <w:pStyle w:val="ListParagraph"/>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087" w:type="dxa"/>
          </w:tcPr>
          <w:p w:rsidR="00AC417D" w:rsidRPr="0016474F" w:rsidRDefault="006A4B55"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5536C52A" wp14:editId="3136C83B">
                  <wp:extent cx="1865630" cy="1402080"/>
                  <wp:effectExtent l="0" t="0" r="127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5630" cy="1402080"/>
                          </a:xfrm>
                          <a:prstGeom prst="rect">
                            <a:avLst/>
                          </a:prstGeom>
                          <a:noFill/>
                        </pic:spPr>
                      </pic:pic>
                    </a:graphicData>
                  </a:graphic>
                </wp:inline>
              </w:drawing>
            </w:r>
          </w:p>
        </w:tc>
      </w:tr>
      <w:tr w:rsidR="000E4F70" w:rsidRPr="008C3C4E" w:rsidTr="00737D3E">
        <w:trPr>
          <w:trHeight w:val="350"/>
        </w:trPr>
        <w:tc>
          <w:tcPr>
            <w:tcW w:w="5087" w:type="dxa"/>
          </w:tcPr>
          <w:p w:rsidR="000E4F70" w:rsidRPr="009520BC" w:rsidRDefault="009520BC" w:rsidP="009520BC">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When heating is finished turn off the power. Use the screw handle and protective heat glove to remove block with samples. It is recommended to allow samples to cool before handling.</w:t>
            </w:r>
          </w:p>
        </w:tc>
        <w:tc>
          <w:tcPr>
            <w:tcW w:w="5087" w:type="dxa"/>
          </w:tcPr>
          <w:p w:rsidR="000E4F70" w:rsidRPr="0016474F" w:rsidRDefault="006A4B55"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02FFDE3C">
                  <wp:extent cx="1609725" cy="120713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9725" cy="1207135"/>
                          </a:xfrm>
                          <a:prstGeom prst="rect">
                            <a:avLst/>
                          </a:prstGeom>
                          <a:noFill/>
                        </pic:spPr>
                      </pic:pic>
                    </a:graphicData>
                  </a:graphic>
                </wp:inline>
              </w:drawing>
            </w:r>
          </w:p>
        </w:tc>
      </w:tr>
      <w:bookmarkEnd w:id="0"/>
    </w:tbl>
    <w:p w:rsidR="00AC417D" w:rsidRPr="0077051F" w:rsidRDefault="00AC417D" w:rsidP="005B6CD7">
      <w:pPr>
        <w:jc w:val="center"/>
        <w:rPr>
          <w:rFonts w:ascii="Bookman Old Style" w:hAnsi="Bookman Old Style"/>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sectPr w:rsidR="00AC417D" w:rsidRPr="0077051F" w:rsidSect="005B6C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4FA5"/>
    <w:multiLevelType w:val="hybridMultilevel"/>
    <w:tmpl w:val="C142A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847C1"/>
    <w:multiLevelType w:val="hybridMultilevel"/>
    <w:tmpl w:val="C142A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F2"/>
    <w:rsid w:val="000237F0"/>
    <w:rsid w:val="000A3F14"/>
    <w:rsid w:val="000E23FF"/>
    <w:rsid w:val="000E4F70"/>
    <w:rsid w:val="0016474F"/>
    <w:rsid w:val="0019346A"/>
    <w:rsid w:val="001B4AD2"/>
    <w:rsid w:val="005B6CD7"/>
    <w:rsid w:val="00603EDF"/>
    <w:rsid w:val="00642EAF"/>
    <w:rsid w:val="006A4B55"/>
    <w:rsid w:val="0070300A"/>
    <w:rsid w:val="00737D3E"/>
    <w:rsid w:val="00743566"/>
    <w:rsid w:val="0077051F"/>
    <w:rsid w:val="00773862"/>
    <w:rsid w:val="0079314A"/>
    <w:rsid w:val="008A24F2"/>
    <w:rsid w:val="008C3C4E"/>
    <w:rsid w:val="009520BC"/>
    <w:rsid w:val="009C44C8"/>
    <w:rsid w:val="00A84D2D"/>
    <w:rsid w:val="00AC417D"/>
    <w:rsid w:val="00BE34BB"/>
    <w:rsid w:val="00CD72B2"/>
    <w:rsid w:val="00D4588A"/>
    <w:rsid w:val="00D77569"/>
    <w:rsid w:val="00ED7C03"/>
    <w:rsid w:val="00F7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D3E"/>
  </w:style>
  <w:style w:type="paragraph" w:styleId="Heading1">
    <w:name w:val="heading 1"/>
    <w:basedOn w:val="Normal"/>
    <w:next w:val="Normal"/>
    <w:link w:val="Heading1Char"/>
    <w:uiPriority w:val="9"/>
    <w:qFormat/>
    <w:rsid w:val="008A24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F2"/>
    <w:rPr>
      <w:rFonts w:ascii="Tahoma" w:hAnsi="Tahoma" w:cs="Tahoma"/>
      <w:sz w:val="16"/>
      <w:szCs w:val="16"/>
    </w:rPr>
  </w:style>
  <w:style w:type="character" w:customStyle="1" w:styleId="Heading1Char">
    <w:name w:val="Heading 1 Char"/>
    <w:basedOn w:val="DefaultParagraphFont"/>
    <w:link w:val="Heading1"/>
    <w:uiPriority w:val="9"/>
    <w:rsid w:val="008A24F2"/>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5B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44C8"/>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47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D3E"/>
  </w:style>
  <w:style w:type="paragraph" w:styleId="Heading1">
    <w:name w:val="heading 1"/>
    <w:basedOn w:val="Normal"/>
    <w:next w:val="Normal"/>
    <w:link w:val="Heading1Char"/>
    <w:uiPriority w:val="9"/>
    <w:qFormat/>
    <w:rsid w:val="008A24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F2"/>
    <w:rPr>
      <w:rFonts w:ascii="Tahoma" w:hAnsi="Tahoma" w:cs="Tahoma"/>
      <w:sz w:val="16"/>
      <w:szCs w:val="16"/>
    </w:rPr>
  </w:style>
  <w:style w:type="character" w:customStyle="1" w:styleId="Heading1Char">
    <w:name w:val="Heading 1 Char"/>
    <w:basedOn w:val="DefaultParagraphFont"/>
    <w:link w:val="Heading1"/>
    <w:uiPriority w:val="9"/>
    <w:rsid w:val="008A24F2"/>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5B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44C8"/>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4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4031">
      <w:bodyDiv w:val="1"/>
      <w:marLeft w:val="0"/>
      <w:marRight w:val="0"/>
      <w:marTop w:val="0"/>
      <w:marBottom w:val="0"/>
      <w:divBdr>
        <w:top w:val="none" w:sz="0" w:space="0" w:color="auto"/>
        <w:left w:val="none" w:sz="0" w:space="0" w:color="auto"/>
        <w:bottom w:val="none" w:sz="0" w:space="0" w:color="auto"/>
        <w:right w:val="none" w:sz="0" w:space="0" w:color="auto"/>
      </w:divBdr>
    </w:div>
    <w:div w:id="126047088">
      <w:bodyDiv w:val="1"/>
      <w:marLeft w:val="0"/>
      <w:marRight w:val="0"/>
      <w:marTop w:val="0"/>
      <w:marBottom w:val="0"/>
      <w:divBdr>
        <w:top w:val="none" w:sz="0" w:space="0" w:color="auto"/>
        <w:left w:val="none" w:sz="0" w:space="0" w:color="auto"/>
        <w:bottom w:val="none" w:sz="0" w:space="0" w:color="auto"/>
        <w:right w:val="none" w:sz="0" w:space="0" w:color="auto"/>
      </w:divBdr>
    </w:div>
    <w:div w:id="356926705">
      <w:bodyDiv w:val="1"/>
      <w:marLeft w:val="0"/>
      <w:marRight w:val="0"/>
      <w:marTop w:val="0"/>
      <w:marBottom w:val="0"/>
      <w:divBdr>
        <w:top w:val="none" w:sz="0" w:space="0" w:color="auto"/>
        <w:left w:val="none" w:sz="0" w:space="0" w:color="auto"/>
        <w:bottom w:val="none" w:sz="0" w:space="0" w:color="auto"/>
        <w:right w:val="none" w:sz="0" w:space="0" w:color="auto"/>
      </w:divBdr>
    </w:div>
    <w:div w:id="445202157">
      <w:bodyDiv w:val="1"/>
      <w:marLeft w:val="0"/>
      <w:marRight w:val="0"/>
      <w:marTop w:val="0"/>
      <w:marBottom w:val="0"/>
      <w:divBdr>
        <w:top w:val="none" w:sz="0" w:space="0" w:color="auto"/>
        <w:left w:val="none" w:sz="0" w:space="0" w:color="auto"/>
        <w:bottom w:val="none" w:sz="0" w:space="0" w:color="auto"/>
        <w:right w:val="none" w:sz="0" w:space="0" w:color="auto"/>
      </w:divBdr>
    </w:div>
    <w:div w:id="491801673">
      <w:bodyDiv w:val="1"/>
      <w:marLeft w:val="0"/>
      <w:marRight w:val="0"/>
      <w:marTop w:val="0"/>
      <w:marBottom w:val="0"/>
      <w:divBdr>
        <w:top w:val="none" w:sz="0" w:space="0" w:color="auto"/>
        <w:left w:val="none" w:sz="0" w:space="0" w:color="auto"/>
        <w:bottom w:val="none" w:sz="0" w:space="0" w:color="auto"/>
        <w:right w:val="none" w:sz="0" w:space="0" w:color="auto"/>
      </w:divBdr>
    </w:div>
    <w:div w:id="529612332">
      <w:bodyDiv w:val="1"/>
      <w:marLeft w:val="0"/>
      <w:marRight w:val="0"/>
      <w:marTop w:val="0"/>
      <w:marBottom w:val="0"/>
      <w:divBdr>
        <w:top w:val="none" w:sz="0" w:space="0" w:color="auto"/>
        <w:left w:val="none" w:sz="0" w:space="0" w:color="auto"/>
        <w:bottom w:val="none" w:sz="0" w:space="0" w:color="auto"/>
        <w:right w:val="none" w:sz="0" w:space="0" w:color="auto"/>
      </w:divBdr>
    </w:div>
    <w:div w:id="767895895">
      <w:bodyDiv w:val="1"/>
      <w:marLeft w:val="0"/>
      <w:marRight w:val="0"/>
      <w:marTop w:val="0"/>
      <w:marBottom w:val="0"/>
      <w:divBdr>
        <w:top w:val="none" w:sz="0" w:space="0" w:color="auto"/>
        <w:left w:val="none" w:sz="0" w:space="0" w:color="auto"/>
        <w:bottom w:val="none" w:sz="0" w:space="0" w:color="auto"/>
        <w:right w:val="none" w:sz="0" w:space="0" w:color="auto"/>
      </w:divBdr>
    </w:div>
    <w:div w:id="790439915">
      <w:bodyDiv w:val="1"/>
      <w:marLeft w:val="0"/>
      <w:marRight w:val="0"/>
      <w:marTop w:val="0"/>
      <w:marBottom w:val="0"/>
      <w:divBdr>
        <w:top w:val="none" w:sz="0" w:space="0" w:color="auto"/>
        <w:left w:val="none" w:sz="0" w:space="0" w:color="auto"/>
        <w:bottom w:val="none" w:sz="0" w:space="0" w:color="auto"/>
        <w:right w:val="none" w:sz="0" w:space="0" w:color="auto"/>
      </w:divBdr>
    </w:div>
    <w:div w:id="996540474">
      <w:bodyDiv w:val="1"/>
      <w:marLeft w:val="0"/>
      <w:marRight w:val="0"/>
      <w:marTop w:val="0"/>
      <w:marBottom w:val="0"/>
      <w:divBdr>
        <w:top w:val="none" w:sz="0" w:space="0" w:color="auto"/>
        <w:left w:val="none" w:sz="0" w:space="0" w:color="auto"/>
        <w:bottom w:val="none" w:sz="0" w:space="0" w:color="auto"/>
        <w:right w:val="none" w:sz="0" w:space="0" w:color="auto"/>
      </w:divBdr>
    </w:div>
    <w:div w:id="1084302417">
      <w:bodyDiv w:val="1"/>
      <w:marLeft w:val="0"/>
      <w:marRight w:val="0"/>
      <w:marTop w:val="0"/>
      <w:marBottom w:val="0"/>
      <w:divBdr>
        <w:top w:val="none" w:sz="0" w:space="0" w:color="auto"/>
        <w:left w:val="none" w:sz="0" w:space="0" w:color="auto"/>
        <w:bottom w:val="none" w:sz="0" w:space="0" w:color="auto"/>
        <w:right w:val="none" w:sz="0" w:space="0" w:color="auto"/>
      </w:divBdr>
    </w:div>
    <w:div w:id="1135411422">
      <w:bodyDiv w:val="1"/>
      <w:marLeft w:val="0"/>
      <w:marRight w:val="0"/>
      <w:marTop w:val="0"/>
      <w:marBottom w:val="0"/>
      <w:divBdr>
        <w:top w:val="none" w:sz="0" w:space="0" w:color="auto"/>
        <w:left w:val="none" w:sz="0" w:space="0" w:color="auto"/>
        <w:bottom w:val="none" w:sz="0" w:space="0" w:color="auto"/>
        <w:right w:val="none" w:sz="0" w:space="0" w:color="auto"/>
      </w:divBdr>
    </w:div>
    <w:div w:id="1266503583">
      <w:bodyDiv w:val="1"/>
      <w:marLeft w:val="0"/>
      <w:marRight w:val="0"/>
      <w:marTop w:val="0"/>
      <w:marBottom w:val="0"/>
      <w:divBdr>
        <w:top w:val="none" w:sz="0" w:space="0" w:color="auto"/>
        <w:left w:val="none" w:sz="0" w:space="0" w:color="auto"/>
        <w:bottom w:val="none" w:sz="0" w:space="0" w:color="auto"/>
        <w:right w:val="none" w:sz="0" w:space="0" w:color="auto"/>
      </w:divBdr>
    </w:div>
    <w:div w:id="1381435607">
      <w:bodyDiv w:val="1"/>
      <w:marLeft w:val="0"/>
      <w:marRight w:val="0"/>
      <w:marTop w:val="0"/>
      <w:marBottom w:val="0"/>
      <w:divBdr>
        <w:top w:val="none" w:sz="0" w:space="0" w:color="auto"/>
        <w:left w:val="none" w:sz="0" w:space="0" w:color="auto"/>
        <w:bottom w:val="none" w:sz="0" w:space="0" w:color="auto"/>
        <w:right w:val="none" w:sz="0" w:space="0" w:color="auto"/>
      </w:divBdr>
    </w:div>
    <w:div w:id="1428309253">
      <w:bodyDiv w:val="1"/>
      <w:marLeft w:val="0"/>
      <w:marRight w:val="0"/>
      <w:marTop w:val="0"/>
      <w:marBottom w:val="0"/>
      <w:divBdr>
        <w:top w:val="none" w:sz="0" w:space="0" w:color="auto"/>
        <w:left w:val="none" w:sz="0" w:space="0" w:color="auto"/>
        <w:bottom w:val="none" w:sz="0" w:space="0" w:color="auto"/>
        <w:right w:val="none" w:sz="0" w:space="0" w:color="auto"/>
      </w:divBdr>
    </w:div>
    <w:div w:id="1520856395">
      <w:bodyDiv w:val="1"/>
      <w:marLeft w:val="0"/>
      <w:marRight w:val="0"/>
      <w:marTop w:val="0"/>
      <w:marBottom w:val="0"/>
      <w:divBdr>
        <w:top w:val="none" w:sz="0" w:space="0" w:color="auto"/>
        <w:left w:val="none" w:sz="0" w:space="0" w:color="auto"/>
        <w:bottom w:val="none" w:sz="0" w:space="0" w:color="auto"/>
        <w:right w:val="none" w:sz="0" w:space="0" w:color="auto"/>
      </w:divBdr>
    </w:div>
    <w:div w:id="1535923944">
      <w:bodyDiv w:val="1"/>
      <w:marLeft w:val="0"/>
      <w:marRight w:val="0"/>
      <w:marTop w:val="0"/>
      <w:marBottom w:val="0"/>
      <w:divBdr>
        <w:top w:val="none" w:sz="0" w:space="0" w:color="auto"/>
        <w:left w:val="none" w:sz="0" w:space="0" w:color="auto"/>
        <w:bottom w:val="none" w:sz="0" w:space="0" w:color="auto"/>
        <w:right w:val="none" w:sz="0" w:space="0" w:color="auto"/>
      </w:divBdr>
    </w:div>
    <w:div w:id="1595938432">
      <w:bodyDiv w:val="1"/>
      <w:marLeft w:val="0"/>
      <w:marRight w:val="0"/>
      <w:marTop w:val="0"/>
      <w:marBottom w:val="0"/>
      <w:divBdr>
        <w:top w:val="none" w:sz="0" w:space="0" w:color="auto"/>
        <w:left w:val="none" w:sz="0" w:space="0" w:color="auto"/>
        <w:bottom w:val="none" w:sz="0" w:space="0" w:color="auto"/>
        <w:right w:val="none" w:sz="0" w:space="0" w:color="auto"/>
      </w:divBdr>
    </w:div>
    <w:div w:id="1925145804">
      <w:bodyDiv w:val="1"/>
      <w:marLeft w:val="0"/>
      <w:marRight w:val="0"/>
      <w:marTop w:val="0"/>
      <w:marBottom w:val="0"/>
      <w:divBdr>
        <w:top w:val="none" w:sz="0" w:space="0" w:color="auto"/>
        <w:left w:val="none" w:sz="0" w:space="0" w:color="auto"/>
        <w:bottom w:val="none" w:sz="0" w:space="0" w:color="auto"/>
        <w:right w:val="none" w:sz="0" w:space="0" w:color="auto"/>
      </w:divBdr>
    </w:div>
    <w:div w:id="208983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A5695-2376-4DB2-8CE8-384B54E5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Jaimie A.</dc:creator>
  <cp:lastModifiedBy>Moody, Rhonda L.</cp:lastModifiedBy>
  <cp:revision>6</cp:revision>
  <cp:lastPrinted>2014-08-21T19:37:00Z</cp:lastPrinted>
  <dcterms:created xsi:type="dcterms:W3CDTF">2014-07-31T16:41:00Z</dcterms:created>
  <dcterms:modified xsi:type="dcterms:W3CDTF">2015-04-01T18:21:00Z</dcterms:modified>
</cp:coreProperties>
</file>